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FE56" w14:textId="629DC8CB" w:rsidR="004A2BFE" w:rsidRPr="004A2BFE" w:rsidRDefault="004A2BFE" w:rsidP="004A2BFE">
      <w:pPr>
        <w:pStyle w:val="Nadpis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Zkladntext"/>
        <w:rPr>
          <w:b/>
        </w:rPr>
      </w:pPr>
    </w:p>
    <w:p w14:paraId="77367A1F" w14:textId="0BA799AC" w:rsidR="004A2BFE" w:rsidRDefault="004A2BFE" w:rsidP="004A2BFE">
      <w:pPr>
        <w:pStyle w:val="Zkladntext"/>
        <w:spacing w:before="89"/>
        <w:rPr>
          <w:b/>
        </w:rPr>
      </w:pPr>
    </w:p>
    <w:p w14:paraId="7FF8004D" w14:textId="2B2C6EA7" w:rsidR="004A2BFE" w:rsidRDefault="004A2BFE" w:rsidP="004A2BFE">
      <w:pPr>
        <w:pStyle w:val="Zkladn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Zkladn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Westbo of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75 Reftele</w:t>
            </w:r>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583DB286" w:rsidR="004A2BFE" w:rsidRPr="005E7428" w:rsidRDefault="0002376D" w:rsidP="003B195C">
            <w:pPr>
              <w:widowControl/>
              <w:autoSpaceDE/>
              <w:autoSpaceDN/>
              <w:jc w:val="center"/>
              <w:rPr>
                <w:rFonts w:eastAsia="Times New Roman"/>
                <w:b/>
                <w:bCs/>
                <w:color w:val="000000"/>
                <w:sz w:val="18"/>
                <w:szCs w:val="18"/>
                <w:lang w:val="sv-SE" w:eastAsia="sv-SE"/>
              </w:rPr>
            </w:pPr>
            <w:r>
              <w:rPr>
                <w:rFonts w:eastAsia="Times New Roman"/>
                <w:b/>
                <w:bCs/>
                <w:color w:val="000000"/>
                <w:sz w:val="28"/>
                <w:szCs w:val="28"/>
                <w:lang w:val="sv-SE" w:eastAsia="sv-SE"/>
              </w:rPr>
              <w:t>WeRa M</w:t>
            </w:r>
            <w:r w:rsidR="00422B34">
              <w:rPr>
                <w:rFonts w:eastAsia="Times New Roman"/>
                <w:b/>
                <w:bCs/>
                <w:color w:val="000000"/>
                <w:sz w:val="28"/>
                <w:szCs w:val="28"/>
                <w:lang w:val="sv-SE" w:eastAsia="sv-SE"/>
              </w:rPr>
              <w:t>1</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Delegated Regulation (EU) 2015/1186 with regard to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2503D9"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2503D9"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Im Lipperfeld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0294F498" w:rsidR="004A2BFE" w:rsidRPr="005E7428" w:rsidRDefault="00312DAA"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 xml:space="preserve">40 </w:t>
            </w:r>
            <w:r w:rsidR="005557D5">
              <w:rPr>
                <w:rFonts w:eastAsia="Times New Roman"/>
                <w:b/>
                <w:bCs/>
                <w:color w:val="000000"/>
                <w:sz w:val="18"/>
                <w:szCs w:val="18"/>
                <w:lang w:val="sv-SE" w:eastAsia="sv-SE"/>
              </w:rPr>
              <w:t>21 5845-1</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Zkladn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Bezriadkovania"/>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90BA" w14:textId="77777777" w:rsidR="00381A81" w:rsidRDefault="00381A81" w:rsidP="004A2BFE">
      <w:r>
        <w:separator/>
      </w:r>
    </w:p>
  </w:endnote>
  <w:endnote w:type="continuationSeparator" w:id="0">
    <w:p w14:paraId="2A30E179" w14:textId="77777777" w:rsidR="00381A81" w:rsidRDefault="00381A81"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57CF" w14:textId="250AFF2C" w:rsidR="004A2BFE" w:rsidRDefault="004A2BFE" w:rsidP="004A2BFE">
    <w:pPr>
      <w:pStyle w:val="Pta"/>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2F7C" w14:textId="77777777" w:rsidR="00381A81" w:rsidRDefault="00381A81" w:rsidP="004A2BFE">
      <w:r>
        <w:separator/>
      </w:r>
    </w:p>
  </w:footnote>
  <w:footnote w:type="continuationSeparator" w:id="0">
    <w:p w14:paraId="33C20423" w14:textId="77777777" w:rsidR="00381A81" w:rsidRDefault="00381A81"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5DA0" w14:textId="07CEFBA5" w:rsidR="004A2BFE" w:rsidRDefault="00523A70" w:rsidP="004A2BFE">
    <w:pPr>
      <w:pStyle w:val="Hlavika"/>
      <w:ind w:right="-284"/>
    </w:pPr>
    <w:r>
      <w:rPr>
        <w:noProof/>
      </w:rPr>
      <mc:AlternateContent>
        <mc:Choice Requires="wps">
          <w:drawing>
            <wp:anchor distT="0" distB="0" distL="0" distR="0" simplePos="0" relativeHeight="251660288" behindDoc="1" locked="0" layoutInCell="1" allowOverlap="1" wp14:anchorId="4956DC7B" wp14:editId="40036753">
              <wp:simplePos x="0" y="0"/>
              <wp:positionH relativeFrom="page">
                <wp:posOffset>629392</wp:posOffset>
              </wp:positionH>
              <wp:positionV relativeFrom="page">
                <wp:posOffset>451262</wp:posOffset>
              </wp:positionV>
              <wp:extent cx="1721922"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922" cy="296545"/>
                      </a:xfrm>
                      <a:prstGeom prst="rect">
                        <a:avLst/>
                      </a:prstGeom>
                    </wps:spPr>
                    <wps:txbx>
                      <w:txbxContent>
                        <w:p w14:paraId="395D5748" w14:textId="27348650"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02376D">
                            <w:rPr>
                              <w:rFonts w:ascii="Palatino Linotype"/>
                              <w:color w:val="231F20"/>
                              <w:spacing w:val="-2"/>
                              <w:w w:val="95"/>
                              <w:sz w:val="32"/>
                            </w:rPr>
                            <w:t>WeRa M</w:t>
                          </w:r>
                          <w:r w:rsidR="005557D5">
                            <w:rPr>
                              <w:rFonts w:ascii="Palatino Linotype"/>
                              <w:color w:val="231F20"/>
                              <w:spacing w:val="-2"/>
                              <w:w w:val="95"/>
                              <w:sz w:val="32"/>
                            </w:rPr>
                            <w:t>2</w:t>
                          </w:r>
                        </w:p>
                      </w:txbxContent>
                    </wps:txbx>
                    <wps:bodyPr wrap="square" lIns="0" tIns="0" rIns="0" bIns="0" rtlCol="0">
                      <a:noAutofit/>
                    </wps:bodyPr>
                  </wps:wsp>
                </a:graphicData>
              </a:graphic>
              <wp14:sizeRelH relativeFrom="margin">
                <wp14:pctWidth>0</wp14:pctWidth>
              </wp14:sizeRelH>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35.6pt;height:2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" filled="f" stroked="f">
              <v:textbox inset="0,0,0,0">
                <w:txbxContent>
                  <w:p w14:paraId="395D5748" w14:textId="27348650"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02376D">
                      <w:rPr>
                        <w:rFonts w:ascii="Palatino Linotype"/>
                        <w:color w:val="231F20"/>
                        <w:spacing w:val="-2"/>
                        <w:w w:val="95"/>
                        <w:sz w:val="32"/>
                      </w:rPr>
                      <w:t>WeRa M</w:t>
                    </w:r>
                    <w:r w:rsidR="005557D5">
                      <w:rPr>
                        <w:rFonts w:ascii="Palatino Linotype"/>
                        <w:color w:val="231F20"/>
                        <w:spacing w:val="-2"/>
                        <w:w w:val="95"/>
                        <w:sz w:val="32"/>
                      </w:rPr>
                      <w:t>2</w:t>
                    </w:r>
                  </w:p>
                </w:txbxContent>
              </v:textbox>
              <w10:wrap anchorx="page" anchory="page"/>
            </v:shape>
          </w:pict>
        </mc:Fallback>
      </mc:AlternateContent>
    </w:r>
    <w:r w:rsidR="004A2BFE">
      <w:rPr>
        <w:noProof/>
      </w:rPr>
      <mc:AlternateContent>
        <mc:Choice Requires="wps">
          <w:drawing>
            <wp:anchor distT="0" distB="0" distL="0" distR="0" simplePos="0" relativeHeight="251659264" behindDoc="1" locked="0" layoutInCell="1" allowOverlap="1" wp14:anchorId="36FEA1FC" wp14:editId="73DF541E">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111C7542"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p>
  <w:p w14:paraId="13753A4C" w14:textId="77777777" w:rsidR="004A2BFE" w:rsidRDefault="004A2BF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02376D"/>
    <w:rsid w:val="001C1963"/>
    <w:rsid w:val="002503D9"/>
    <w:rsid w:val="002A1C37"/>
    <w:rsid w:val="00310904"/>
    <w:rsid w:val="0031175A"/>
    <w:rsid w:val="00312DAA"/>
    <w:rsid w:val="00381A81"/>
    <w:rsid w:val="00422B34"/>
    <w:rsid w:val="004A2BFE"/>
    <w:rsid w:val="00523A70"/>
    <w:rsid w:val="005557D5"/>
    <w:rsid w:val="00627B67"/>
    <w:rsid w:val="007B2B01"/>
    <w:rsid w:val="00803152"/>
    <w:rsid w:val="00C83589"/>
    <w:rsid w:val="00FC1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Nadpis1">
    <w:name w:val="heading 1"/>
    <w:basedOn w:val="Normlny"/>
    <w:next w:val="Normlny"/>
    <w:link w:val="Nadpis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Nadpis2">
    <w:name w:val="heading 2"/>
    <w:basedOn w:val="Normlny"/>
    <w:next w:val="Normlny"/>
    <w:link w:val="Nadpis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Nadpis3">
    <w:name w:val="heading 3"/>
    <w:basedOn w:val="Normlny"/>
    <w:next w:val="Normlny"/>
    <w:link w:val="Nadpis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Nadpis4">
    <w:name w:val="heading 4"/>
    <w:basedOn w:val="Normlny"/>
    <w:next w:val="Normlny"/>
    <w:link w:val="Nadpis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Nadpis5">
    <w:name w:val="heading 5"/>
    <w:basedOn w:val="Normlny"/>
    <w:next w:val="Normlny"/>
    <w:link w:val="Nadpis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Nadpis6">
    <w:name w:val="heading 6"/>
    <w:basedOn w:val="Normlny"/>
    <w:next w:val="Normlny"/>
    <w:link w:val="Nadpis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Nadpis7">
    <w:name w:val="heading 7"/>
    <w:basedOn w:val="Normlny"/>
    <w:next w:val="Normlny"/>
    <w:link w:val="Nadpis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Nadpis8">
    <w:name w:val="heading 8"/>
    <w:basedOn w:val="Normlny"/>
    <w:next w:val="Normlny"/>
    <w:link w:val="Nadpis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Nadpis9">
    <w:name w:val="heading 9"/>
    <w:basedOn w:val="Normlny"/>
    <w:next w:val="Normlny"/>
    <w:link w:val="Nadpis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2BF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A2BF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A2BF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A2BF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A2B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A2B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A2B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A2BFE"/>
    <w:rPr>
      <w:rFonts w:eastAsiaTheme="majorEastAsia" w:cstheme="majorBidi"/>
      <w:color w:val="272727" w:themeColor="text1" w:themeTint="D8"/>
    </w:rPr>
  </w:style>
  <w:style w:type="paragraph" w:styleId="Nzov">
    <w:name w:val="Title"/>
    <w:basedOn w:val="Normlny"/>
    <w:next w:val="Normlny"/>
    <w:link w:val="Nzov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NzovChar">
    <w:name w:val="Názov Char"/>
    <w:basedOn w:val="Predvolenpsmoodseku"/>
    <w:link w:val="Nzov"/>
    <w:uiPriority w:val="10"/>
    <w:rsid w:val="004A2B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PodtitulChar">
    <w:name w:val="Podtitul Char"/>
    <w:basedOn w:val="Predvolenpsmoodseku"/>
    <w:link w:val="Podtitul"/>
    <w:uiPriority w:val="11"/>
    <w:rsid w:val="004A2B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ciaChar">
    <w:name w:val="Citácia Char"/>
    <w:basedOn w:val="Predvolenpsmoodseku"/>
    <w:link w:val="Citcia"/>
    <w:uiPriority w:val="29"/>
    <w:rsid w:val="004A2BFE"/>
    <w:rPr>
      <w:i/>
      <w:iCs/>
      <w:color w:val="404040" w:themeColor="text1" w:themeTint="BF"/>
    </w:rPr>
  </w:style>
  <w:style w:type="paragraph" w:styleId="Odsekzoznamu">
    <w:name w:val="List Paragraph"/>
    <w:basedOn w:val="Normlny"/>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Intenzvnezvraznenie">
    <w:name w:val="Intense Emphasis"/>
    <w:basedOn w:val="Predvolenpsmoodseku"/>
    <w:uiPriority w:val="21"/>
    <w:qFormat/>
    <w:rsid w:val="004A2BFE"/>
    <w:rPr>
      <w:i/>
      <w:iCs/>
      <w:color w:val="2F5496" w:themeColor="accent1" w:themeShade="BF"/>
    </w:rPr>
  </w:style>
  <w:style w:type="paragraph" w:styleId="Zvraznencitcia">
    <w:name w:val="Intense Quote"/>
    <w:basedOn w:val="Normlny"/>
    <w:next w:val="Normlny"/>
    <w:link w:val="Zvraznencitcia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ZvraznencitciaChar">
    <w:name w:val="Zvýraznená citácia Char"/>
    <w:basedOn w:val="Predvolenpsmoodseku"/>
    <w:link w:val="Zvraznencitcia"/>
    <w:uiPriority w:val="30"/>
    <w:rsid w:val="004A2BFE"/>
    <w:rPr>
      <w:i/>
      <w:iCs/>
      <w:color w:val="2F5496" w:themeColor="accent1" w:themeShade="BF"/>
    </w:rPr>
  </w:style>
  <w:style w:type="character" w:styleId="Zvraznenodkaz">
    <w:name w:val="Intense Reference"/>
    <w:basedOn w:val="Predvolenpsmoodseku"/>
    <w:uiPriority w:val="32"/>
    <w:qFormat/>
    <w:rsid w:val="004A2BFE"/>
    <w:rPr>
      <w:b/>
      <w:bCs/>
      <w:smallCaps/>
      <w:color w:val="2F5496" w:themeColor="accent1" w:themeShade="BF"/>
      <w:spacing w:val="5"/>
    </w:rPr>
  </w:style>
  <w:style w:type="paragraph" w:styleId="Zkladntext">
    <w:name w:val="Body Text"/>
    <w:basedOn w:val="Normlny"/>
    <w:link w:val="ZkladntextChar"/>
    <w:uiPriority w:val="1"/>
    <w:qFormat/>
    <w:rsid w:val="004A2BFE"/>
    <w:rPr>
      <w:sz w:val="20"/>
      <w:szCs w:val="20"/>
    </w:rPr>
  </w:style>
  <w:style w:type="character" w:customStyle="1" w:styleId="ZkladntextChar">
    <w:name w:val="Základný text Char"/>
    <w:basedOn w:val="Predvolenpsmoodseku"/>
    <w:link w:val="Zkladntext"/>
    <w:uiPriority w:val="1"/>
    <w:rsid w:val="004A2BFE"/>
    <w:rPr>
      <w:rFonts w:ascii="Arial" w:eastAsia="Arial" w:hAnsi="Arial" w:cs="Arial"/>
      <w:kern w:val="0"/>
      <w:sz w:val="20"/>
      <w:szCs w:val="20"/>
      <w:lang w:val="en-US"/>
      <w14:ligatures w14:val="none"/>
    </w:rPr>
  </w:style>
  <w:style w:type="paragraph" w:styleId="Bezriadkovania">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Hlavika">
    <w:name w:val="header"/>
    <w:basedOn w:val="Normlny"/>
    <w:link w:val="HlavikaChar"/>
    <w:uiPriority w:val="99"/>
    <w:unhideWhenUsed/>
    <w:rsid w:val="004A2BFE"/>
    <w:pPr>
      <w:tabs>
        <w:tab w:val="center" w:pos="4536"/>
        <w:tab w:val="right" w:pos="9072"/>
      </w:tabs>
    </w:pPr>
  </w:style>
  <w:style w:type="character" w:customStyle="1" w:styleId="HlavikaChar">
    <w:name w:val="Hlavička Char"/>
    <w:basedOn w:val="Predvolenpsmoodseku"/>
    <w:link w:val="Hlavika"/>
    <w:uiPriority w:val="99"/>
    <w:rsid w:val="004A2BFE"/>
    <w:rPr>
      <w:rFonts w:ascii="Arial" w:eastAsia="Arial" w:hAnsi="Arial" w:cs="Arial"/>
      <w:kern w:val="0"/>
      <w:lang w:val="en-US"/>
      <w14:ligatures w14:val="none"/>
    </w:rPr>
  </w:style>
  <w:style w:type="paragraph" w:styleId="Pta">
    <w:name w:val="footer"/>
    <w:basedOn w:val="Normlny"/>
    <w:link w:val="PtaChar"/>
    <w:uiPriority w:val="99"/>
    <w:unhideWhenUsed/>
    <w:rsid w:val="004A2BFE"/>
    <w:pPr>
      <w:tabs>
        <w:tab w:val="center" w:pos="4536"/>
        <w:tab w:val="right" w:pos="9072"/>
      </w:tabs>
    </w:pPr>
  </w:style>
  <w:style w:type="character" w:customStyle="1" w:styleId="PtaChar">
    <w:name w:val="Päta Char"/>
    <w:basedOn w:val="Predvolenpsmoodseku"/>
    <w:link w:val="Pta"/>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Ivan Minarič</cp:lastModifiedBy>
  <cp:revision>5</cp:revision>
  <dcterms:created xsi:type="dcterms:W3CDTF">2025-12-04T09:59:00Z</dcterms:created>
  <dcterms:modified xsi:type="dcterms:W3CDTF">2026-05-11T12:23:00Z</dcterms:modified>
</cp:coreProperties>
</file>